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85C28"/>
          <w:sz w:val="19"/>
        </w:rPr>
        <w:t>MODIFIABLE REQUEST FOR PROPOSALS (RFP) TEMPLATE  |  VNA-RFP-004</w:t>
      </w:r>
    </w:p>
    <w:p>
      <w:pPr>
        <w:pStyle w:val="Heading1"/>
      </w:pPr>
      <w:r>
        <w:rPr>
          <w:color w:val="281F16"/>
        </w:rPr>
        <w:t>Request for Proposals (RFP): FOEX Plugin Migration: Replace Discontinued FOEX (ExtJS) with Native Oracle APEX 24.2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85C2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D2218"/>
          </w:tcPr>
          <w:p>
            <w:r>
              <w:rPr>
                <w:b/>
                <w:color w:val="FFFFFF"/>
                <w:sz w:val="19"/>
              </w:rPr>
              <w:t>Procurement Milestone / Field</w:t>
            </w:r>
          </w:p>
        </w:tc>
        <w:tc>
          <w:tcPr>
            <w:tcW w:type="dxa" w:w="5040"/>
            <w:shd w:val="clear" w:color="auto" w:fill="2D2218"/>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VNA-RFP-004 (Companion to Solution Brief VNA-SB-004)</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FOEX Plugin Framework (Sencha ExtJS Wrapper on Legacy APEX 5.x / 18.x / 19.x / 20.x) environment to 100% Native Oracle APEX 24.2 (Universal Theme 42, Native Grids, Dynamic Actions).</w:t>
      </w:r>
    </w:p>
    <w:p>
      <w:pPr>
        <w:pStyle w:val="ListBullet"/>
      </w:pPr>
      <w:r>
        <w:t>The FOEX Plugin Framework wrapped Sencha ExtJS inside Oracle APEX to build desktop-like multi-pane grids in the APEX 4.x/5.x era. Following corporate acquisitions and product discontinuation, FOEX is a dead-end dependency.</w:t>
      </w:r>
    </w:p>
    <w:p>
      <w:pPr>
        <w:pStyle w:val="ListBullet"/>
      </w:pPr>
      <w:r>
        <w:t>Every time an organization attempts to upgrade Oracle Database or Oracle APEX to 23.2 / 24.2, broken FOEX plugin metadata, deprecated ExtJS JavaScript APIs, and custom CSS overrides halt the upgrade.</w:t>
      </w:r>
    </w:p>
    <w:p>
      <w:pPr>
        <w:pStyle w:val="ListBullet"/>
      </w:pPr>
      <w:r>
        <w:t>FOEX pages bypass standard APEX Universal Theme rendering, loading multi-megabyte ExtJS bundles and proprietary AJAX handlers that cannot use modern APEX features like Native Approvals, AI Assistant, or Template Components.</w:t>
      </w:r>
    </w:p>
    <w:p>
      <w:pPr>
        <w:pStyle w:val="Heading2"/>
      </w:pPr>
      <w:r>
        <w:rPr>
          <w:color w:val="B85C2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85C28"/>
          </w:tcPr>
          <w:p>
            <w:r>
              <w:rPr>
                <w:b/>
                <w:color w:val="FFFFFF"/>
                <w:sz w:val="19"/>
              </w:rPr>
              <w:t>Inventory Dimension</w:t>
            </w:r>
          </w:p>
        </w:tc>
        <w:tc>
          <w:tcPr>
            <w:tcW w:type="dxa" w:w="3360"/>
            <w:shd w:val="clear" w:color="auto" w:fill="B85C28"/>
          </w:tcPr>
          <w:p>
            <w:r>
              <w:rPr>
                <w:b/>
                <w:color w:val="FFFFFF"/>
                <w:sz w:val="19"/>
              </w:rPr>
              <w:t>Current Baseline Footprint (Editable)</w:t>
            </w:r>
          </w:p>
        </w:tc>
        <w:tc>
          <w:tcPr>
            <w:tcW w:type="dxa" w:w="3360"/>
            <w:shd w:val="clear" w:color="auto" w:fill="B85C28"/>
          </w:tcPr>
          <w:p>
            <w:r>
              <w:rPr>
                <w:b/>
                <w:color w:val="FFFFFF"/>
                <w:sz w:val="19"/>
              </w:rPr>
              <w:t>Target Modernization SLA / Objective</w:t>
            </w:r>
          </w:p>
        </w:tc>
      </w:tr>
      <w:tr>
        <w:tc>
          <w:tcPr>
            <w:tcW w:type="dxa" w:w="3360"/>
          </w:tcPr>
          <w:p>
            <w:r>
              <w:rPr>
                <w:b/>
              </w:rPr>
              <w:t>Legacy Source Stack (Stack X)</w:t>
            </w:r>
          </w:p>
        </w:tc>
        <w:tc>
          <w:tcPr>
            <w:tcW w:type="dxa" w:w="3360"/>
          </w:tcPr>
          <w:p>
            <w:r>
              <w:t>FOEX Plugin Framework (Sencha ExtJS Wrapper on Legacy APEX 5.x / 18.x / 19.x / 20.x)</w:t>
            </w:r>
          </w:p>
        </w:tc>
        <w:tc>
          <w:tcPr>
            <w:tcW w:type="dxa" w:w="3360"/>
          </w:tcPr>
          <w:p>
            <w:r>
              <w:t>Full retirement / modernization</w:t>
            </w:r>
          </w:p>
        </w:tc>
      </w:tr>
      <w:tr>
        <w:tc>
          <w:tcPr>
            <w:tcW w:type="dxa" w:w="3360"/>
          </w:tcPr>
          <w:p>
            <w:r>
              <w:rPr>
                <w:b/>
              </w:rPr>
              <w:t>Target Architecture (Stack Y)</w:t>
            </w:r>
          </w:p>
        </w:tc>
        <w:tc>
          <w:tcPr>
            <w:tcW w:type="dxa" w:w="3360"/>
          </w:tcPr>
          <w:p>
            <w:r>
              <w:t>100% Native Oracle APEX 24.2 (Universal Theme 42, Native Grids, Dynamic Actions)</w:t>
            </w:r>
          </w:p>
        </w:tc>
        <w:tc>
          <w:tcPr>
            <w:tcW w:type="dxa" w:w="3360"/>
          </w:tcPr>
          <w:p>
            <w:r>
              <w:t>Production HA/DR &amp; security governance</w:t>
            </w:r>
          </w:p>
        </w:tc>
      </w:tr>
      <w:tr>
        <w:tc>
          <w:tcPr>
            <w:tcW w:type="dxa" w:w="3360"/>
          </w:tcPr>
          <w:p>
            <w:r>
              <w:rPr>
                <w:b/>
              </w:rPr>
              <w:t>APEX Pages Containing FOEX Plugins</w:t>
            </w:r>
          </w:p>
        </w:tc>
        <w:tc>
          <w:tcPr>
            <w:tcW w:type="dxa" w:w="3360"/>
          </w:tcPr>
          <w:p>
            <w:r>
              <w:t>[Insert Count, e.g., 120 FOEX pages]</w:t>
            </w:r>
          </w:p>
        </w:tc>
        <w:tc>
          <w:tcPr>
            <w:tcW w:type="dxa" w:w="3360"/>
          </w:tcPr>
          <w:p>
            <w:r>
              <w:t>100% functional parity &amp; optimization</w:t>
            </w:r>
          </w:p>
        </w:tc>
      </w:tr>
      <w:tr>
        <w:tc>
          <w:tcPr>
            <w:tcW w:type="dxa" w:w="3360"/>
          </w:tcPr>
          <w:p>
            <w:r>
              <w:rPr>
                <w:b/>
              </w:rPr>
              <w:t>FOEX Grids &amp; Report Regions</w:t>
            </w:r>
          </w:p>
        </w:tc>
        <w:tc>
          <w:tcPr>
            <w:tcW w:type="dxa" w:w="3360"/>
          </w:tcPr>
          <w:p>
            <w:r>
              <w:t>[Insert Count, e.g., 310 FOEX regions]</w:t>
            </w:r>
          </w:p>
        </w:tc>
        <w:tc>
          <w:tcPr>
            <w:tcW w:type="dxa" w:w="3360"/>
          </w:tcPr>
          <w:p>
            <w:r>
              <w:t>Automated AST &amp; schema uplift</w:t>
            </w:r>
          </w:p>
        </w:tc>
      </w:tr>
      <w:tr>
        <w:tc>
          <w:tcPr>
            <w:tcW w:type="dxa" w:w="3360"/>
          </w:tcPr>
          <w:p>
            <w:r>
              <w:rPr>
                <w:b/>
              </w:rPr>
              <w:t>Grid Query Fan-Out Rationalization (Core SQL Views + Runtime Smart Filters)</w:t>
            </w:r>
          </w:p>
        </w:tc>
        <w:tc>
          <w:tcPr>
            <w:tcW w:type="dxa" w:w="3360"/>
          </w:tcPr>
          <w:p>
            <w:r>
              <w:t>[Insert Count, e.g., 70 %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85C28"/>
        </w:rPr>
        <w:t>Section 3: Mandatory Technical Scope of Work &amp; Conversion Matrix</w:t>
      </w:r>
    </w:p>
    <w:p>
      <w:pPr>
        <w:pStyle w:val="ListNumber"/>
      </w:pPr>
      <w:r>
        <w:rPr>
          <w:b/>
        </w:rPr>
        <w:t xml:space="preserve">[REQ-ARCH-01] </w:t>
      </w:r>
      <w:r>
        <w:t>APEX Export Metadata &amp; FOEX Plugin Scanner: We parse your application export SQL/YAML via SQLcl to inventory every `PLUGIN_COM.FOEX.*` region, item, and dynamic action across all pages, scoring each page by ExtJS customization depth.</w:t>
      </w:r>
    </w:p>
    <w:p>
      <w:pPr>
        <w:pStyle w:val="ListNumber"/>
      </w:pPr>
      <w:r>
        <w:rPr>
          <w:b/>
        </w:rPr>
        <w:t xml:space="preserve">[REQ-ARCH-02] </w:t>
      </w:r>
      <w:r>
        <w:t>Viewport &amp; Splitter Replacement with Universal Theme 42: Complex FOEX Viewport, Tab, and Accordion containers are replaced with native Universal Theme 42 CSS Grid/Flexbox sub-regions, collapsible drawers, and modal dialogs.</w:t>
      </w:r>
    </w:p>
    <w:p>
      <w:pPr>
        <w:pStyle w:val="ListNumber"/>
      </w:pPr>
      <w:r>
        <w:rPr>
          <w:b/>
        </w:rPr>
        <w:t xml:space="preserve">[REQ-ARCH-03] </w:t>
      </w:r>
      <w:r>
        <w:t>FOEX Grid &amp; TreeGrid to Native Interactive Grid: FOEX Grids are converted to native APEX 24.2 Interactive Grids with custom `apex.region().call('getViews', 'grid')` configurations, preserving frozen columns, summary rows, and inline editing.</w:t>
      </w:r>
    </w:p>
    <w:p>
      <w:pPr>
        <w:pStyle w:val="ListNumber"/>
      </w:pPr>
      <w:r>
        <w:rPr>
          <w:b/>
        </w:rPr>
        <w:t xml:space="preserve">[REQ-ARCH-04] </w:t>
      </w:r>
      <w:r>
        <w:t>Zero-Disruption Coexistence &amp; Page-by-Page Cutover: Using APEX session-sharing and AMP navigation routing, we migrate high-complexity FOEX applications module-by-module without freezing ongoing business operations.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2218"/>
          </w:tcPr>
          <w:p>
            <w:r>
              <w:rPr>
                <w:b/>
                <w:color w:val="FFFFFF"/>
                <w:sz w:val="19"/>
              </w:rPr>
              <w:t>Req ID</w:t>
            </w:r>
          </w:p>
        </w:tc>
        <w:tc>
          <w:tcPr>
            <w:tcW w:type="dxa" w:w="2520"/>
            <w:shd w:val="clear" w:color="auto" w:fill="2D2218"/>
          </w:tcPr>
          <w:p>
            <w:r>
              <w:rPr>
                <w:b/>
                <w:color w:val="FFFFFF"/>
                <w:sz w:val="19"/>
              </w:rPr>
              <w:t>Legacy Artifact / Baseline Workload</w:t>
            </w:r>
          </w:p>
        </w:tc>
        <w:tc>
          <w:tcPr>
            <w:tcW w:type="dxa" w:w="2520"/>
            <w:shd w:val="clear" w:color="auto" w:fill="2D2218"/>
          </w:tcPr>
          <w:p>
            <w:r>
              <w:rPr>
                <w:b/>
                <w:color w:val="FFFFFF"/>
                <w:sz w:val="19"/>
              </w:rPr>
              <w:t>Required Target Architecture</w:t>
            </w:r>
          </w:p>
        </w:tc>
        <w:tc>
          <w:tcPr>
            <w:tcW w:type="dxa" w:w="2520"/>
            <w:shd w:val="clear" w:color="auto" w:fill="2D2218"/>
          </w:tcPr>
          <w:p>
            <w:r>
              <w:rPr>
                <w:b/>
                <w:color w:val="FFFFFF"/>
                <w:sz w:val="19"/>
              </w:rPr>
              <w:t>Engineering Method &amp; Acceptance Gate</w:t>
            </w:r>
          </w:p>
        </w:tc>
      </w:tr>
      <w:tr>
        <w:tc>
          <w:tcPr>
            <w:tcW w:type="dxa" w:w="2520"/>
          </w:tcPr>
          <w:p>
            <w:r>
              <w:rPr>
                <w:b/>
              </w:rPr>
              <w:t>REQ-01</w:t>
            </w:r>
          </w:p>
        </w:tc>
        <w:tc>
          <w:tcPr>
            <w:tcW w:type="dxa" w:w="2520"/>
          </w:tcPr>
          <w:p>
            <w:r>
              <w:t>FOEX Viewport / Border Layout / Panes</w:t>
            </w:r>
          </w:p>
        </w:tc>
        <w:tc>
          <w:tcPr>
            <w:tcW w:type="dxa" w:w="2520"/>
          </w:tcPr>
          <w:p>
            <w:r>
              <w:t>Universal Theme 42 Region Display Selector &amp; CSS Grid</w:t>
            </w:r>
          </w:p>
        </w:tc>
        <w:tc>
          <w:tcPr>
            <w:tcW w:type="dxa" w:w="2520"/>
          </w:tcPr>
          <w:p>
            <w:r>
              <w:t>Responsive Native Layout Refactoring</w:t>
            </w:r>
          </w:p>
        </w:tc>
      </w:tr>
      <w:tr>
        <w:tc>
          <w:tcPr>
            <w:tcW w:type="dxa" w:w="2520"/>
          </w:tcPr>
          <w:p>
            <w:r>
              <w:rPr>
                <w:b/>
              </w:rPr>
              <w:t>REQ-02</w:t>
            </w:r>
          </w:p>
        </w:tc>
        <w:tc>
          <w:tcPr>
            <w:tcW w:type="dxa" w:w="2520"/>
          </w:tcPr>
          <w:p>
            <w:r>
              <w:t>FOEX Grid / Editable Grid Plugin</w:t>
            </w:r>
          </w:p>
        </w:tc>
        <w:tc>
          <w:tcPr>
            <w:tcW w:type="dxa" w:w="2520"/>
          </w:tcPr>
          <w:p>
            <w:r>
              <w:t>Native APEX 24.2 Interactive Grid + Server Processes</w:t>
            </w:r>
          </w:p>
        </w:tc>
        <w:tc>
          <w:tcPr>
            <w:tcW w:type="dxa" w:w="2520"/>
          </w:tcPr>
          <w:p>
            <w:r>
              <w:t>Metadata Remapping &amp; Native DML Wiring</w:t>
            </w:r>
          </w:p>
        </w:tc>
      </w:tr>
      <w:tr>
        <w:tc>
          <w:tcPr>
            <w:tcW w:type="dxa" w:w="2520"/>
          </w:tcPr>
          <w:p>
            <w:r>
              <w:rPr>
                <w:b/>
              </w:rPr>
              <w:t>REQ-03</w:t>
            </w:r>
          </w:p>
        </w:tc>
        <w:tc>
          <w:tcPr>
            <w:tcW w:type="dxa" w:w="2520"/>
          </w:tcPr>
          <w:p>
            <w:r>
              <w:t>FOEX Form &amp; Field Plugins (Combo, Lov, Date)</w:t>
            </w:r>
          </w:p>
        </w:tc>
        <w:tc>
          <w:tcPr>
            <w:tcW w:type="dxa" w:w="2520"/>
          </w:tcPr>
          <w:p>
            <w:r>
              <w:t>Native APEX Form Region, Popup LOV &amp; Date Picker</w:t>
            </w:r>
          </w:p>
        </w:tc>
        <w:tc>
          <w:tcPr>
            <w:tcW w:type="dxa" w:w="2520"/>
          </w:tcPr>
          <w:p>
            <w:r>
              <w:t>Item Type Conversion + Validation Preservation</w:t>
            </w:r>
          </w:p>
        </w:tc>
      </w:tr>
      <w:tr>
        <w:tc>
          <w:tcPr>
            <w:tcW w:type="dxa" w:w="2520"/>
          </w:tcPr>
          <w:p>
            <w:r>
              <w:rPr>
                <w:b/>
              </w:rPr>
              <w:t>REQ-04</w:t>
            </w:r>
          </w:p>
        </w:tc>
        <w:tc>
          <w:tcPr>
            <w:tcW w:type="dxa" w:w="2520"/>
          </w:tcPr>
          <w:p>
            <w:r>
              <w:t>FOEX Dynamic Actions (Server/Client ExtJS Events)</w:t>
            </w:r>
          </w:p>
        </w:tc>
        <w:tc>
          <w:tcPr>
            <w:tcW w:type="dxa" w:w="2520"/>
          </w:tcPr>
          <w:p>
            <w:r>
              <w:t>Native APEX Dynamic Actions + `apex.server.process`</w:t>
            </w:r>
          </w:p>
        </w:tc>
        <w:tc>
          <w:tcPr>
            <w:tcW w:type="dxa" w:w="2520"/>
          </w:tcPr>
          <w:p>
            <w:r>
              <w:t>Clean JavaScript &amp; PL/SQL Callback Refactoring</w:t>
            </w:r>
          </w:p>
        </w:tc>
      </w:tr>
      <w:tr>
        <w:tc>
          <w:tcPr>
            <w:tcW w:type="dxa" w:w="2520"/>
          </w:tcPr>
          <w:p>
            <w:r>
              <w:rPr>
                <w:b/>
              </w:rPr>
              <w:t>REQ-05</w:t>
            </w:r>
          </w:p>
        </w:tc>
        <w:tc>
          <w:tcPr>
            <w:tcW w:type="dxa" w:w="2520"/>
          </w:tcPr>
          <w:p>
            <w:r>
              <w:t>FOEX Master-Detail Linked Panes</w:t>
            </w:r>
          </w:p>
        </w:tc>
        <w:tc>
          <w:tcPr>
            <w:tcW w:type="dxa" w:w="2520"/>
          </w:tcPr>
          <w:p>
            <w:r>
              <w:t>Native APEX Master-Detail Interactive Grids</w:t>
            </w:r>
          </w:p>
        </w:tc>
        <w:tc>
          <w:tcPr>
            <w:tcW w:type="dxa" w:w="2520"/>
          </w:tcPr>
          <w:p>
            <w:r>
              <w:t>Declarative Parent-Child Region Binding</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B85C2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Can we migrate off FOEX incrementally without rewriting the entire application at once?   [Evaluator Score: ___ / 10]</w:t>
      </w:r>
    </w:p>
    <w:p>
      <w:pPr>
        <w:pStyle w:val="ListBullet"/>
      </w:pPr>
      <w:r>
        <w:rPr>
          <w:b/>
        </w:rPr>
        <w:t xml:space="preserve">Reference Evaluation Benchmark: </w:t>
      </w:r>
      <w:r>
        <w:t>Yes. By configuring Shared Session Cookies between your existing FOEX app and a new Native APEX 24.2 companion app in the same workspace, users can navigate seamlessly between legacy and modernized pages while we convert module by module.</w:t>
      </w:r>
    </w:p>
    <w:p>
      <w:pPr>
        <w:pStyle w:val="ListBullet"/>
      </w:pPr>
      <w:r>
        <w:rPr>
          <w:b/>
        </w:rPr>
        <w:t xml:space="preserve">Vendor Written Response: </w:t>
      </w:r>
      <w:r>
        <w:t>[Bidder to insert concrete technical architecture and verifiable production proof here]</w:t>
      </w:r>
    </w:p>
    <w:p>
      <w:r>
        <w:rPr>
          <w:b/>
        </w:rPr>
        <w:t>Vendor Question 2: Do we have to rewrite our underlying PL/SQL packages when removing FOEX?   [Evaluator Score: ___ / 10]</w:t>
      </w:r>
    </w:p>
    <w:p>
      <w:pPr>
        <w:pStyle w:val="ListBullet"/>
      </w:pPr>
      <w:r>
        <w:rPr>
          <w:b/>
        </w:rPr>
        <w:t xml:space="preserve">Reference Evaluation Benchmark: </w:t>
      </w:r>
      <w:r>
        <w:t>Almost all core PL/SQL business logic remains intact. Only the thin FOEX JSON/AJAX wrapper calls are refactored to standard `apex_json` or native Interactive Grid DML handlers.</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complete `COM.FOEX.*` plugin-to-Native-APEX mapping catalog, SQL queries to audit your workspace's FOEX footprint in 60 seconds, and a phased coexistence architecture.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85C2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2218"/>
          </w:tcPr>
          <w:p>
            <w:r>
              <w:rPr>
                <w:b/>
                <w:color w:val="FFFFFF"/>
                <w:sz w:val="19"/>
              </w:rPr>
              <w:t>Milestone / Phase</w:t>
            </w:r>
          </w:p>
        </w:tc>
        <w:tc>
          <w:tcPr>
            <w:tcW w:type="dxa" w:w="2520"/>
            <w:shd w:val="clear" w:color="auto" w:fill="2D2218"/>
          </w:tcPr>
          <w:p>
            <w:r>
              <w:rPr>
                <w:b/>
                <w:color w:val="FFFFFF"/>
                <w:sz w:val="19"/>
              </w:rPr>
              <w:t>Deliverable &amp; Acceptance Gate</w:t>
            </w:r>
          </w:p>
        </w:tc>
        <w:tc>
          <w:tcPr>
            <w:tcW w:type="dxa" w:w="2520"/>
            <w:shd w:val="clear" w:color="auto" w:fill="2D2218"/>
          </w:tcPr>
          <w:p>
            <w:r>
              <w:rPr>
                <w:b/>
                <w:color w:val="FFFFFF"/>
                <w:sz w:val="19"/>
              </w:rPr>
              <w:t>Fixed Fee (USD)</w:t>
            </w:r>
          </w:p>
        </w:tc>
        <w:tc>
          <w:tcPr>
            <w:tcW w:type="dxa" w:w="2520"/>
            <w:shd w:val="clear" w:color="auto" w:fill="2D2218"/>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VNA-RFP-004  |  https://foex-plugin-migration-apex.web.app/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